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Burlöv kommunfullmäktige</w:t>
      </w:r>
    </w:p>
    <w:p>
      <w:pPr>
        <w:pStyle w:val="Heading1"/>
      </w:pPr>
      <w:r>
        <w:t xml:space="preserve">Fler lärare i Burlövs skolor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Burlöv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Lärartätheten i Burlöv ligger under rikssnittet. Kolada visar att antalet elever per lärare är 13,8 jämfört med 12,4 nationellt.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Burlöv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öka lärartätheten till rikssnittet inom tre år.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karriärtjänster för lärare med särskilt ansvar.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erbjuda kompetensutveckling i klassrumsklimat.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avsätta 1,5 mnkr för fler legitimerade lärare 2027.</w:t>
      </w:r>
    </w:p>
    <w:p>
      <w:pPr>
        <w:spacing w:before="360"/>
      </w:pPr>
    </w:p>
    <w:p>
      <w:r>
        <w:t xml:space="preserve">Burlöv,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Burlöv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2026-07-14T02:36:08.797Z</dcterms:created>
  <dcterms:modified xsi:type="dcterms:W3CDTF">2026-07-14T02:36:08.797Z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